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6.1.0 (Apache licensed) using REFERENCE JAXB in Eclipse Adoptium Java 11.0.17 on Windows 10 -->
    <w:tbl>
      <w:tblPr>
        <w:tblW w:type="auto" w:w="0"/>
        <w:tblCellSpacing w:type="auto" w:w="0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0"/>
        <w:gridCol w:w="1292"/>
        <w:gridCol w:w="807"/>
        <w:gridCol w:w="2726"/>
        <w:gridCol w:w="7719"/>
      </w:tblGrid>
      <w:tr>
        <w:trPr>
          <w:trHeight w:hRule="atLeast" w:val="75"/>
        </w:trPr>
        <w:tc>
          <w:tcPr>
            <w:tcW w:type="dxa" w:w="1090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292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807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2726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br/>
            </w:r>
          </w:p>
        </w:tc>
        <w:tc>
          <w:tcPr>
            <w:tcW w:type="dxa" w:w="7719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</w:tr>
      <w:tr>
        <w:trPr>
          <w:trHeight w:hRule="atLeast" w:val="30"/>
        </w:trPr>
        <w:tc>
          <w:tcPr>
            <w:tcW w:type="dxa" w:w="1090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auto" w:w="0"/>
            <w:gridSpan w:val="2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</w:t>
            </w:r>
            <w:bookmarkStart w:name="photo" w:id="0"/>
            <w:r>
              <w:drawing>
                <wp:inline distR="0" distL="0" distB="0" distT="0">
                  <wp:extent cy="2133600" cx="1744133"/>
                  <wp:effectExtent b="0" r="0" t="0" l="0"/>
                  <wp:docPr descr="Jocelyn Gibart" name="" id="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" id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2133600" cx="174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</w:t>
            </w:r>
          </w:p>
        </w:tc>
        <w:tc>
          <w:tcPr>
            <w:tcW w:type="dxa" w:w="2726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7719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269"/>
              <w:ind w:left="135"/>
              <w:jc w:val="righ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Jocelyn GIBART</w:t>
            </w:r>
          </w:p>
          <w:p>
            <w:pPr>
              <w:spacing w:after="0"/>
              <w:ind w:left="135"/>
              <w:jc w:val="righ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Public Cloud software and infrastructure Architect.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</w:t>
            </w:r>
          </w:p>
          <w:p>
            <w:pPr>
              <w:spacing w:after="0"/>
              <w:ind w:left="135"/>
              <w:jc w:val="right"/>
            </w:pPr>
          </w:p>
          <w:p>
            <w:pPr>
              <w:spacing w:after="269"/>
              <w:ind w:left="135"/>
              <w:jc w:val="righ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jocelyn@hightechzone.fr</w:t>
            </w:r>
          </w:p>
          <w:p>
            <w:pPr>
              <w:spacing w:after="269"/>
              <w:ind w:left="135"/>
              <w:jc w:val="right"/>
            </w:pPr>
            <w:r>
              <w:rPr>
                <w:rFonts w:hAnsi="Verdana" w:ascii="Verdana"/>
                <w:b w:val="false"/>
                <w:i w:val="false"/>
                <w:color w:val="000000"/>
                <w:sz w:val="13"/>
              </w:rPr>
              <w:t>78400 Chatou</w:t>
            </w:r>
            <w:r>
              <w:br/>
            </w:r>
            <w:r>
              <w:rPr>
                <w:rFonts w:hAnsi="Verdana" w:ascii="Verdana"/>
                <w:b w:val="false"/>
                <w:i w:val="false"/>
                <w:color w:val="000000"/>
                <w:sz w:val="13"/>
              </w:rPr>
              <w:t>	</w:t>
            </w:r>
            <w:r>
              <w:rPr>
                <w:rFonts w:hAnsi="Verdana" w:ascii="Verdana"/>
                <w:b w:val="false"/>
                <w:i w:val="false"/>
                <w:color w:val="000000"/>
                <w:sz w:val="13"/>
              </w:rPr>
              <w:t>Phone</w:t>
            </w:r>
            <w:r>
              <w:rPr>
                <w:rFonts w:hAnsi="Verdana" w:ascii="Verdana"/>
                <w:b w:val="false"/>
                <w:i w:val="false"/>
                <w:color w:val="000000"/>
                <w:sz w:val="13"/>
              </w:rPr>
              <w:t>: +33 (0)6 34 51 97 46</w:t>
            </w:r>
          </w:p>
        </w:tc>
      </w:tr>
      <w:tr>
        <w:trPr>
          <w:trHeight w:hRule="atLeast" w:val="75"/>
        </w:trPr>
        <w:tc>
          <w:tcPr>
            <w:tcW w:type="dxa" w:w="1090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292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807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2726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7719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</w:tr>
    </w:tbl>
    <w:p>
      <w:pPr>
        <w:spacing w:after="0"/>
        <w:ind w:left="120"/>
        <w:jc w:val="left"/>
      </w:pPr>
      <w:r>
        <w:rPr>
          <w:rFonts w:hAnsi="Verdana" w:ascii="Verdana"/>
          <w:b w:val="false"/>
          <w:i w:val="false"/>
          <w:color w:val="000000"/>
          <w:sz w:val="22"/>
        </w:rPr>
        <w:t>
			</w:t>
      </w:r>
      <w:r>
        <w:br/>
      </w:r>
    </w:p>
    <w:p>
      <w:pPr>
        <w:shd w:fill="4682b4"/>
        <w:spacing w:line="480" w:after="0"/>
        <w:ind w:left="120"/>
        <w:jc w:val="center"/>
      </w:pPr>
      <w:r>
        <w:rPr>
          <w:rFonts w:hAnsi="Arial" w:ascii="Arial"/>
          <w:b w:val="false"/>
          <w:i w:val="false"/>
          <w:color w:val="ffffff"/>
          <w:sz w:val="35"/>
        </w:rPr>
        <w:t>
				</w:t>
      </w:r>
      <w:r>
        <w:rPr>
          <w:rFonts w:hAnsi="Arial" w:ascii="Arial"/>
          <w:b w:val="false"/>
          <w:i w:val="false"/>
          <w:color w:val="ffffff"/>
          <w:sz w:val="35"/>
        </w:rPr>
        <w:t>About me</w:t>
      </w:r>
      <w:r>
        <w:rPr>
          <w:rFonts w:hAnsi="Arial" w:ascii="Arial"/>
          <w:b w:val="false"/>
          <w:i w:val="false"/>
          <w:color w:val="ffffff"/>
          <w:sz w:val="35"/>
        </w:rPr>
        <w:t>
			</w:t>
      </w:r>
    </w:p>
    <w:tbl>
      <w:tblPr>
        <w:tblW w:type="auto" w:w="0"/>
        <w:tblCellSpacing w:type="auto" w:w="0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45"/>
        <w:gridCol w:w="11589"/>
      </w:tblGrid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58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60"/>
              <w:ind w:left="135"/>
              <w:jc w:val="left"/>
            </w:pP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Character description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</w:t>
            </w:r>
          </w:p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58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269"/>
              <w:ind w:left="13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I am a freelance architect (software, data and infrastructure) with a significant experience in public Cloud, Big Data and production (among other things).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</w:t>
            </w:r>
          </w:p>
          <w:p>
            <w:pPr>
              <w:spacing w:after="269"/>
              <w:ind w:left="13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Computer software guru. Complex problems solver ++(I have the SRE spirit). Sharp mind, analytic, pragmatic and synthetic.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</w:t>
            </w:r>
          </w:p>
          <w:p>
            <w:pPr>
              <w:spacing w:after="269"/>
              <w:ind w:left="13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I still perform a lot of technical field activities and I am an excelling CTO able to overcome many technical barriers. Also able to setup very effective large data processing.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</w:t>
            </w:r>
          </w:p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58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60"/>
              <w:ind w:left="135"/>
              <w:jc w:val="left"/>
            </w:pP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Skills and abilities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 xml:space="preserve">
						    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Cloud Infrastructure and architecture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 xml:space="preserve">
						    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Data processing, streaming, transformation and structuring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 xml:space="preserve">
						    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Numerous in-depth technical expertise.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 xml:space="preserve">
						    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Site reliability engineering (SRE)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Leadership and team management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 xml:space="preserve">
						    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Modern software engineering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 xml:space="preserve">
						    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IT Architecture.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</w:t>
            </w:r>
          </w:p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58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</w:tr>
    </w:tbl>
    <w:p>
      <w:pPr>
        <w:spacing w:after="0"/>
        <w:ind w:left="120"/>
        <w:jc w:val="left"/>
      </w:pPr>
      <w:r>
        <w:rPr>
          <w:rFonts w:hAnsi="Verdana" w:ascii="Verdana"/>
          <w:b w:val="false"/>
          <w:i w:val="false"/>
          <w:color w:val="000000"/>
          <w:sz w:val="22"/>
        </w:rPr>
        <w:t>
			</w:t>
      </w:r>
      <w:r>
        <w:br/>
      </w:r>
    </w:p>
    <w:p>
      <w:pPr>
        <w:shd w:fill="4682b4"/>
        <w:spacing w:line="480" w:after="0"/>
        <w:ind w:left="120"/>
        <w:jc w:val="center"/>
      </w:pPr>
      <w:r>
        <w:rPr>
          <w:rFonts w:hAnsi="Arial" w:ascii="Arial"/>
          <w:b w:val="false"/>
          <w:i w:val="false"/>
          <w:color w:val="ffffff"/>
          <w:sz w:val="35"/>
        </w:rPr>
        <w:t>
				</w:t>
      </w:r>
      <w:r>
        <w:rPr>
          <w:rFonts w:hAnsi="Arial" w:ascii="Arial"/>
          <w:b w:val="false"/>
          <w:i w:val="false"/>
          <w:color w:val="ffffff"/>
          <w:sz w:val="35"/>
        </w:rPr>
        <w:t>Experience</w:t>
      </w:r>
      <w:r>
        <w:rPr>
          <w:rFonts w:hAnsi="Arial" w:ascii="Arial"/>
          <w:b w:val="false"/>
          <w:i w:val="false"/>
          <w:color w:val="ffffff"/>
          <w:sz w:val="35"/>
        </w:rPr>
        <w:t>
			</w:t>
      </w:r>
    </w:p>
    <w:tbl>
      <w:tblPr>
        <w:tblW w:type="auto" w:w="0"/>
        <w:tblCellSpacing w:type="auto" w:w="0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45"/>
        <w:gridCol w:w="11589"/>
      </w:tblGrid>
      <w:tr>
        <w:trPr>
          <w:trHeight w:hRule="atLeast" w:val="300"/>
        </w:trPr>
        <w:tc>
          <w:tcPr>
            <w:tcW w:type="dxa" w:w="2045"/>
            <w:tcBorders/>
            <w:shd w:fill="f0f8ff"/>
            <w:tcMar>
              <w:top w:type="dxa" w:w="150"/>
              <w:left w:type="dxa" w:w="15"/>
              <w:bottom w:type="dxa" w:w="150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
						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Since 2021/10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
					</w:t>
            </w:r>
          </w:p>
        </w:tc>
        <w:tc>
          <w:tcPr>
            <w:tcW w:type="dxa" w:w="11589"/>
            <w:tcBorders/>
            <w:tcMar>
              <w:top w:type="dxa" w:w="150"/>
              <w:left w:type="dxa" w:w="15"/>
              <w:bottom w:type="dxa" w:w="150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 xml:space="preserve">
                        </w:t>
            </w:r>
            <w:hyperlink r:id="rId5">
              <w:r>
                <w:rPr>
                  <w:rFonts w:hAnsi="Arial" w:ascii="Arial"/>
                  <w:b w:val="false"/>
                  <w:i w:val="false"/>
                  <w:color w:val="0000ff"/>
                  <w:sz w:val="26"/>
                  <w:u w:val="single"/>
                </w:rPr>
                <w:t/>
              </w:r>
              <w:r>
                <w:rPr>
                  <w:rFonts w:hAnsi="Arial" w:ascii="Arial"/>
                  <w:b/>
                  <w:i w:val="false"/>
                  <w:color w:val="0000ff"/>
                  <w:sz w:val="29"/>
                </w:rPr>
                <w:t>Total Energies</w:t>
              </w:r>
            </w:hyperlink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 xml:space="preserve">  Total Energies
					</w:t>
            </w:r>
          </w:p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58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60"/>
              <w:ind w:left="135"/>
              <w:jc w:val="left"/>
            </w:pP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	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Architect, Team Lead, Devops, SRE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</w:t>
            </w:r>
          </w:p>
          <w:p>
            <w:pPr>
              <w:spacing w:after="0"/>
              <w:ind w:left="135"/>
              <w:jc w:val="left"/>
            </w:pP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
								</w:t>
            </w: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Microsoft Azure platform, AWS platform</w:t>
            </w: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Public Cloud Infrastructure Architect, Software architect, Technical Team Leader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Remediated software and architecture then successfully moved 3 complex applications (and associated data flows) from Azure to AWS.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Migrated deployment workflows from Azure devops to Github on 3 complex projects.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Site Realiability Engineering.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Bringing 3 apps to be production grade by monitoring and direct application refactoring.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Optimized Spark Big data processing (gain 8 times faster).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</w:tc>
      </w:tr>
    </w:tbl>
    <w:tbl>
      <w:tblPr>
        <w:tblW w:type="auto" w:w="0"/>
        <w:tblCellSpacing w:type="auto" w:w="0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45"/>
        <w:gridCol w:w="11589"/>
      </w:tblGrid>
      <w:tr>
        <w:trPr>
          <w:trHeight w:hRule="atLeast" w:val="300"/>
        </w:trPr>
        <w:tc>
          <w:tcPr>
            <w:tcW w:type="dxa" w:w="2045"/>
            <w:tcBorders/>
            <w:shd w:fill="f0f8ff"/>
            <w:tcMar>
              <w:top w:type="dxa" w:w="150"/>
              <w:left w:type="dxa" w:w="15"/>
              <w:bottom w:type="dxa" w:w="150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 xml:space="preserve">
                    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
						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From 2019/06 till 2021/10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
					</w:t>
            </w:r>
          </w:p>
        </w:tc>
        <w:tc>
          <w:tcPr>
            <w:tcW w:type="dxa" w:w="11589"/>
            <w:tcBorders/>
            <w:tcMar>
              <w:top w:type="dxa" w:w="150"/>
              <w:left w:type="dxa" w:w="15"/>
              <w:bottom w:type="dxa" w:w="150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 xml:space="preserve">
 </w:t>
            </w:r>
            <w:hyperlink r:id="rId6">
              <w:r>
                <w:rPr>
                  <w:rFonts w:hAnsi="Arial" w:ascii="Arial"/>
                  <w:b w:val="false"/>
                  <w:i w:val="false"/>
                  <w:color w:val="0000ff"/>
                  <w:sz w:val="26"/>
                  <w:u w:val="single"/>
                </w:rPr>
                <w:t/>
              </w:r>
              <w:r>
                <w:rPr>
                  <w:rFonts w:hAnsi="Arial" w:ascii="Arial"/>
                  <w:b/>
                  <w:i w:val="false"/>
                  <w:color w:val="0000ff"/>
                  <w:sz w:val="29"/>
                </w:rPr>
                <w:t>Total EV Charge</w:t>
              </w:r>
            </w:hyperlink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 xml:space="preserve"> Total EV Charge
					</w:t>
            </w:r>
          </w:p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58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60"/>
              <w:ind w:left="135"/>
              <w:jc w:val="left"/>
            </w:pP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	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NoSql and Azure Cloud infrastructure and software Architect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</w:t>
            </w:r>
          </w:p>
          <w:p>
            <w:pPr>
              <w:spacing w:after="0"/>
              <w:ind w:left="135"/>
              <w:jc w:val="left"/>
            </w:pP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
								</w:t>
            </w: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Microsoft Azure platform, Spring Boot, MongoDb, RabbitMQ, ArangoDB, ElasticSearch, Node.js ...</w:t>
            </w: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Architect on Total EV Charge IT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Quick wins et valuable refactoring on the existing system.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Moved production datacenter to Azure cloud.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Infrastructure as code design and setup for the whole IT system of TotalEvCharge.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DevOps, Github migration.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Any NoSql bidirectional replication solution design and implementation between cloud and on premise.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Long term IT upscale and high availability design.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Installation and setup of many PAAS services ( AKS, AppInsight, Log Analytics, Application Gateway, Vpn Gateway, Azure Bastion, IOT Hub, Azure Backup ).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IOT devices firmware design and architecture ( on esp32 ).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Azure Iot Hub infrastructure design and setup for secured IOT devices.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High traffic WebSocket server design and tests.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</w:tc>
      </w:tr>
    </w:tbl>
    <w:tbl>
      <w:tblPr>
        <w:tblW w:type="auto" w:w="0"/>
        <w:tblCellSpacing w:type="auto" w:w="0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45"/>
        <w:gridCol w:w="11589"/>
      </w:tblGrid>
      <w:tr>
        <w:trPr>
          <w:trHeight w:hRule="atLeast" w:val="300"/>
        </w:trPr>
        <w:tc>
          <w:tcPr>
            <w:tcW w:type="dxa" w:w="2045"/>
            <w:tcBorders/>
            <w:shd w:fill="f0f8ff"/>
            <w:tcMar>
              <w:top w:type="dxa" w:w="150"/>
              <w:left w:type="dxa" w:w="15"/>
              <w:bottom w:type="dxa" w:w="150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
						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From 2017/12 till 2019/06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
					</w:t>
            </w:r>
          </w:p>
        </w:tc>
        <w:tc>
          <w:tcPr>
            <w:tcW w:type="dxa" w:w="11589"/>
            <w:tcBorders/>
            <w:tcMar>
              <w:top w:type="dxa" w:w="150"/>
              <w:left w:type="dxa" w:w="15"/>
              <w:bottom w:type="dxa" w:w="150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	</w:t>
            </w:r>
            <w:hyperlink r:id="rId7">
              <w:r>
                <w:rPr>
                  <w:rFonts w:hAnsi="Arial" w:ascii="Arial"/>
                  <w:b w:val="false"/>
                  <w:i w:val="false"/>
                  <w:color w:val="0000ff"/>
                  <w:sz w:val="26"/>
                  <w:u w:val="single"/>
                </w:rPr>
                <w:t/>
              </w:r>
              <w:r>
                <w:rPr>
                  <w:rFonts w:hAnsi="Arial" w:ascii="Arial"/>
                  <w:b/>
                  <w:i w:val="false"/>
                  <w:color w:val="0000ff"/>
                  <w:sz w:val="29"/>
                </w:rPr>
                <w:t>SNCF</w:t>
              </w:r>
            </w:hyperlink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 xml:space="preserve"> Fab Big Data
					</w:t>
            </w:r>
          </w:p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58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60"/>
              <w:ind w:left="135"/>
              <w:jc w:val="left"/>
            </w:pP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	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 xml:space="preserve">Azure Architect and Big Data Consultant 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</w:t>
            </w:r>
          </w:p>
          <w:p>
            <w:pPr>
              <w:spacing w:after="0"/>
              <w:ind w:left="135"/>
              <w:jc w:val="left"/>
            </w:pP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
								</w:t>
            </w: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Azure Cloud, Kubernetes, Azure Container Instances, Azure Active Directory, Polybase, DataBricks, Spark, Azure Automation, AppInsight, HDInsight ...</w:t>
            </w: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SNCF, Big Data Fab. Consultant and Architect on multiple projects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Consulting and projects support regarding application and big data processing design.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Azure Cloud architecture : security, monitoring, deployments, networking, automation, urbanization.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Big Data matters Research and Development. Data replication with encryption. Inter cloud optimized data replication. Spark into Kubernetes containers and into serverless containers.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Site reliability engineer on Azure infrastructure.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</w:tc>
      </w:tr>
    </w:tbl>
    <w:tbl>
      <w:tblPr>
        <w:tblW w:type="auto" w:w="0"/>
        <w:tblCellSpacing w:type="auto" w:w="0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45"/>
        <w:gridCol w:w="11589"/>
      </w:tblGrid>
      <w:tr>
        <w:trPr>
          <w:trHeight w:hRule="atLeast" w:val="300"/>
        </w:trPr>
        <w:tc>
          <w:tcPr>
            <w:tcW w:type="dxa" w:w="2045"/>
            <w:tcBorders/>
            <w:shd w:fill="f0f8ff"/>
            <w:tcMar>
              <w:top w:type="dxa" w:w="150"/>
              <w:left w:type="dxa" w:w="15"/>
              <w:bottom w:type="dxa" w:w="150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 xml:space="preserve">
                    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
						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From 2015/01 till  2017/12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
					</w:t>
            </w:r>
          </w:p>
        </w:tc>
        <w:tc>
          <w:tcPr>
            <w:tcW w:type="dxa" w:w="11589"/>
            <w:tcBorders/>
            <w:tcMar>
              <w:top w:type="dxa" w:w="150"/>
              <w:left w:type="dxa" w:w="15"/>
              <w:bottom w:type="dxa" w:w="150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	</w:t>
            </w:r>
            <w:hyperlink r:id="rId8">
              <w:r>
                <w:rPr>
                  <w:rFonts w:hAnsi="Arial" w:ascii="Arial"/>
                  <w:b w:val="false"/>
                  <w:i w:val="false"/>
                  <w:color w:val="0000ff"/>
                  <w:sz w:val="26"/>
                  <w:u w:val="single"/>
                </w:rPr>
                <w:t/>
              </w:r>
              <w:r>
                <w:rPr>
                  <w:rFonts w:hAnsi="Arial" w:ascii="Arial"/>
                  <w:b/>
                  <w:i w:val="false"/>
                  <w:color w:val="0000ff"/>
                  <w:sz w:val="29"/>
                </w:rPr>
                <w:t>AXA Technology Services</w:t>
              </w:r>
            </w:hyperlink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 xml:space="preserve"> Axa Data Innovation Lab
					</w:t>
            </w:r>
          </w:p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58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60"/>
              <w:ind w:left="135"/>
              <w:jc w:val="left"/>
            </w:pP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	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Big Data platforms infrastructure Architect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</w:t>
            </w:r>
          </w:p>
          <w:p>
            <w:pPr>
              <w:spacing w:after="0"/>
              <w:ind w:left="135"/>
              <w:jc w:val="left"/>
            </w:pP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
								</w:t>
            </w: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Cloudera, on Linux. Ansible, Hadoop, Hive, Impala, Sentry, Spark, Dataiku, JupyterHub, Python, R</w:t>
            </w: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AXA Data Innovation Lab production Datalake, for Axa Technologies and Services.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Automation and large DevOps deployments using modern tools such as Ansible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Hadoop Clusters securing using Kerberos, SSL, firewalling and data on disk encryption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Cloudera clusters deployment using high availability and high security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Deployed backup process, disaster recovery strategy, non-regression tests, performance tests, network flows compliance tests.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Complex issues on Hadoop  platforms (performance and technical problems) analysis and resolution.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</w:p>
        </w:tc>
      </w:tr>
    </w:tbl>
    <w:tbl>
      <w:tblPr>
        <w:tblW w:type="auto" w:w="0"/>
        <w:tblCellSpacing w:type="auto" w:w="0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45"/>
        <w:gridCol w:w="11589"/>
      </w:tblGrid>
      <w:tr>
        <w:trPr>
          <w:trHeight w:hRule="atLeast" w:val="300"/>
        </w:trPr>
        <w:tc>
          <w:tcPr>
            <w:tcW w:type="dxa" w:w="2045"/>
            <w:tcBorders/>
            <w:shd w:fill="f0f8ff"/>
            <w:tcMar>
              <w:top w:type="dxa" w:w="150"/>
              <w:left w:type="dxa" w:w="15"/>
              <w:bottom w:type="dxa" w:w="150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
						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2014/11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
					</w:t>
            </w:r>
          </w:p>
        </w:tc>
        <w:tc>
          <w:tcPr>
            <w:tcW w:type="dxa" w:w="11589"/>
            <w:tcBorders/>
            <w:tcMar>
              <w:top w:type="dxa" w:w="150"/>
              <w:left w:type="dxa" w:w="15"/>
              <w:bottom w:type="dxa" w:w="150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	</w:t>
            </w:r>
            <w:hyperlink r:id="rId9">
              <w:r>
                <w:rPr>
                  <w:rFonts w:hAnsi="Arial" w:ascii="Arial"/>
                  <w:b w:val="false"/>
                  <w:i w:val="false"/>
                  <w:color w:val="0000ff"/>
                  <w:sz w:val="26"/>
                  <w:u w:val="single"/>
                </w:rPr>
                <w:t/>
              </w:r>
              <w:r>
                <w:rPr>
                  <w:rFonts w:hAnsi="Arial" w:ascii="Arial"/>
                  <w:b/>
                  <w:i w:val="false"/>
                  <w:color w:val="0000ff"/>
                  <w:sz w:val="29"/>
                </w:rPr>
                <w:t>High Tech Zone</w:t>
              </w:r>
            </w:hyperlink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</w:t>
            </w:r>
          </w:p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58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60"/>
              <w:ind w:left="135"/>
              <w:jc w:val="left"/>
            </w:pP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	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High Tech Zone creation and become a freelance consultant.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</w:t>
            </w:r>
          </w:p>
          <w:p>
            <w:pPr>
              <w:spacing w:after="0"/>
              <w:ind w:left="135"/>
              <w:jc w:val="left"/>
            </w:pP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
								</w:t>
            </w: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Specializing into software and infrastructure architecture, public cloud, NoSql technology and Big Data</w:t>
            </w: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
							</w:t>
            </w:r>
          </w:p>
        </w:tc>
      </w:tr>
    </w:tbl>
    <w:tbl>
      <w:tblPr>
        <w:tblW w:type="auto" w:w="0"/>
        <w:tblCellSpacing w:type="auto" w:w="0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45"/>
        <w:gridCol w:w="11589"/>
      </w:tblGrid>
      <w:tr>
        <w:trPr>
          <w:trHeight w:hRule="atLeast" w:val="300"/>
        </w:trPr>
        <w:tc>
          <w:tcPr>
            <w:tcW w:type="dxa" w:w="2045"/>
            <w:tcBorders/>
            <w:shd w:fill="f0f8ff"/>
            <w:tcMar>
              <w:top w:type="dxa" w:w="150"/>
              <w:left w:type="dxa" w:w="15"/>
              <w:bottom w:type="dxa" w:w="150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
						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From 2013/07 till  2014/10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
					</w:t>
            </w:r>
          </w:p>
        </w:tc>
        <w:tc>
          <w:tcPr>
            <w:tcW w:type="dxa" w:w="11589"/>
            <w:tcBorders/>
            <w:tcMar>
              <w:top w:type="dxa" w:w="150"/>
              <w:left w:type="dxa" w:w="15"/>
              <w:bottom w:type="dxa" w:w="150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	</w:t>
            </w:r>
            <w:hyperlink r:id="rId10">
              <w:r>
                <w:rPr>
                  <w:rFonts w:hAnsi="Arial" w:ascii="Arial"/>
                  <w:b w:val="false"/>
                  <w:i w:val="false"/>
                  <w:color w:val="0000ff"/>
                  <w:sz w:val="26"/>
                  <w:u w:val="single"/>
                </w:rPr>
                <w:t/>
              </w:r>
              <w:r>
                <w:rPr>
                  <w:rFonts w:hAnsi="Arial" w:ascii="Arial"/>
                  <w:b/>
                  <w:i w:val="false"/>
                  <w:color w:val="0000ff"/>
                  <w:sz w:val="29"/>
                </w:rPr>
                <w:t>Cassiopae</w:t>
              </w:r>
            </w:hyperlink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</w:t>
            </w:r>
          </w:p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58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60"/>
              <w:ind w:left="135"/>
              <w:jc w:val="left"/>
            </w:pP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	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 xml:space="preserve"> Chief Technology Officer (CTO)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</w:t>
            </w:r>
          </w:p>
          <w:p>
            <w:pPr>
              <w:spacing w:after="0"/>
              <w:ind w:left="135"/>
              <w:jc w:val="left"/>
            </w:pP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
								</w:t>
            </w: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Multiple Technologies and environments ( Java, JEE, Oracle, C++, …)</w:t>
            </w: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In charge of software architecture of Cassiopae products.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Management of a highly skilled specialists team.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Pre-sales support for sales team.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Redesigned and modernized engineering process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Heavily reduced the technological lag.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</w:p>
        </w:tc>
      </w:tr>
    </w:tbl>
    <w:tbl>
      <w:tblPr>
        <w:tblW w:type="auto" w:w="0"/>
        <w:tblCellSpacing w:type="auto" w:w="0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45"/>
        <w:gridCol w:w="11589"/>
      </w:tblGrid>
      <w:tr>
        <w:trPr>
          <w:trHeight w:hRule="atLeast" w:val="300"/>
        </w:trPr>
        <w:tc>
          <w:tcPr>
            <w:tcW w:type="dxa" w:w="2045"/>
            <w:tcBorders/>
            <w:shd w:fill="f0f8ff"/>
            <w:tcMar>
              <w:top w:type="dxa" w:w="150"/>
              <w:left w:type="dxa" w:w="15"/>
              <w:bottom w:type="dxa" w:w="150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
						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2006/09 till 2010/07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
					</w:t>
            </w:r>
          </w:p>
        </w:tc>
        <w:tc>
          <w:tcPr>
            <w:tcW w:type="dxa" w:w="11589"/>
            <w:tcBorders/>
            <w:tcMar>
              <w:top w:type="dxa" w:w="150"/>
              <w:left w:type="dxa" w:w="15"/>
              <w:bottom w:type="dxa" w:w="150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</w:t>
            </w:r>
            <w:hyperlink r:id="rId11">
              <w:r>
                <w:rPr>
                  <w:rFonts w:hAnsi="Arial" w:ascii="Arial"/>
                  <w:b w:val="false"/>
                  <w:i w:val="false"/>
                  <w:color w:val="0000ff"/>
                  <w:sz w:val="26"/>
                  <w:u w:val="single"/>
                </w:rPr>
                <w:t/>
              </w:r>
              <w:r>
                <w:rPr>
                  <w:rFonts w:hAnsi="Arial" w:ascii="Arial"/>
                  <w:b/>
                  <w:i w:val="false"/>
                  <w:color w:val="0000ff"/>
                  <w:sz w:val="29"/>
                </w:rPr>
                <w:t>Cap Gemini</w:t>
              </w:r>
            </w:hyperlink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 xml:space="preserve"> Telecom, Media, Défense
					</w:t>
            </w:r>
          </w:p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58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60"/>
              <w:ind w:left="135"/>
              <w:jc w:val="left"/>
            </w:pP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	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Software Architect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</w:t>
            </w:r>
          </w:p>
          <w:p>
            <w:pPr>
              <w:spacing w:after="0"/>
              <w:ind w:left="135"/>
              <w:jc w:val="left"/>
            </w:pP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
								</w:t>
            </w: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Multiple Technologies and environments ( UNIX, JEE, Windows, …)</w:t>
            </w: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Java Architect and Consultant.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Designed and put in production the heavy XML transformation module via DataStage ETL for SFR billing.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High added value missions on many projects (20+).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</w:p>
        </w:tc>
      </w:tr>
    </w:tbl>
    <w:tbl>
      <w:tblPr>
        <w:tblW w:type="auto" w:w="0"/>
        <w:tblCellSpacing w:type="auto" w:w="0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45"/>
        <w:gridCol w:w="11589"/>
      </w:tblGrid>
      <w:tr>
        <w:trPr>
          <w:trHeight w:hRule="atLeast" w:val="300"/>
        </w:trPr>
        <w:tc>
          <w:tcPr>
            <w:tcW w:type="dxa" w:w="2045"/>
            <w:tcBorders/>
            <w:shd w:fill="f0f8ff"/>
            <w:tcMar>
              <w:top w:type="dxa" w:w="150"/>
              <w:left w:type="dxa" w:w="15"/>
              <w:bottom w:type="dxa" w:w="150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
						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1997/02 till 2006/10</w:t>
            </w:r>
            <w:r>
              <w:rPr>
                <w:rFonts w:hAnsi="Arial" w:ascii="Arial"/>
                <w:b/>
                <w:i w:val="false"/>
                <w:color w:val="000000"/>
                <w:sz w:val="26"/>
              </w:rPr>
              <w:t>
					</w:t>
            </w:r>
          </w:p>
        </w:tc>
        <w:tc>
          <w:tcPr>
            <w:tcW w:type="dxa" w:w="11589"/>
            <w:tcBorders/>
            <w:tcMar>
              <w:top w:type="dxa" w:w="150"/>
              <w:left w:type="dxa" w:w="15"/>
              <w:bottom w:type="dxa" w:w="150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</w:t>
            </w:r>
            <w:hyperlink r:id="rId12">
              <w:r>
                <w:rPr>
                  <w:rFonts w:hAnsi="Arial" w:ascii="Arial"/>
                  <w:b w:val="false"/>
                  <w:i w:val="false"/>
                  <w:color w:val="0000ff"/>
                  <w:sz w:val="26"/>
                  <w:u w:val="single"/>
                </w:rPr>
                <w:t/>
              </w:r>
              <w:r>
                <w:rPr>
                  <w:rFonts w:hAnsi="Arial" w:ascii="Arial"/>
                  <w:b/>
                  <w:i w:val="false"/>
                  <w:color w:val="0000ff"/>
                  <w:sz w:val="29"/>
                </w:rPr>
                <w:t>BEA Systems</w:t>
              </w:r>
            </w:hyperlink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</w:t>
            </w: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	</w:t>
            </w: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 xml:space="preserve">, acquired since by </w:t>
            </w: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	</w:t>
            </w: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</w:t>
            </w:r>
            <w:hyperlink r:id="rId13">
              <w:r>
                <w:rPr>
                  <w:rFonts w:hAnsi="Arial" w:ascii="Arial"/>
                  <w:b w:val="false"/>
                  <w:i w:val="false"/>
                  <w:color w:val="0000ff"/>
                  <w:sz w:val="26"/>
                  <w:u w:val="single"/>
                </w:rPr>
                <w:t/>
              </w:r>
              <w:r>
                <w:rPr>
                  <w:rFonts w:hAnsi="Arial" w:ascii="Arial"/>
                  <w:b/>
                  <w:i w:val="false"/>
                  <w:color w:val="0000ff"/>
                  <w:sz w:val="29"/>
                </w:rPr>
                <w:t>Oracle</w:t>
              </w:r>
            </w:hyperlink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</w:t>
            </w:r>
          </w:p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58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60"/>
              <w:ind w:left="135"/>
              <w:jc w:val="left"/>
            </w:pP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	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Manager of professional services solutions department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Design/prototyping, evolutions, logistics, commercial propositions and technical support for the BEA professional services solutions.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Successfully built and launched several products (Host Connect for Tuxedo 8 and 9, … )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</w:p>
          <w:p>
            <w:pPr>
              <w:spacing w:after="60"/>
              <w:ind w:left="135"/>
              <w:jc w:val="left"/>
            </w:pP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	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BEA professional services Senior Consultant</w:t>
            </w:r>
            <w:r>
              <w:rPr>
                <w:rFonts w:hAnsi="Verdana" w:ascii="Verdana"/>
                <w:b/>
                <w:i w:val="false"/>
                <w:color w:val="000000"/>
                <w:sz w:val="26"/>
              </w:rPr>
              <w:t>
							</w:t>
            </w:r>
          </w:p>
          <w:p>
            <w:pPr>
              <w:spacing w:after="0"/>
              <w:ind w:left="135"/>
              <w:jc w:val="left"/>
            </w:pP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
								</w:t>
            </w: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All UNIX and all Windows operating systems, all BEA products</w:t>
            </w:r>
            <w:r>
              <w:rPr>
                <w:rFonts w:hAnsi="Verdana" w:ascii="Verdana"/>
                <w:b w:val="false"/>
                <w:i/>
                <w:color w:val="000000"/>
                <w:sz w:val="22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 xml:space="preserve">Consulting on BEA products. Developments, benchmarks, entering production assistance. BEA consultants are meant to understand and solve complex technical issues, especially among Middleware and JEE architectures. 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Highly skilled missions on very large projects (into production assistance, technical audits, consulting, …)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		</w:t>
            </w:r>
          </w:p>
        </w:tc>
      </w:tr>
    </w:tbl>
    <w:p>
      <w:pPr>
        <w:spacing w:after="0"/>
        <w:ind w:left="120"/>
        <w:jc w:val="left"/>
      </w:pPr>
      <w:r>
        <w:rPr>
          <w:rFonts w:hAnsi="Verdana" w:ascii="Verdana"/>
          <w:b w:val="false"/>
          <w:i w:val="false"/>
          <w:color w:val="000000"/>
          <w:sz w:val="22"/>
        </w:rPr>
        <w:t>
			</w:t>
      </w:r>
      <w:r>
        <w:br/>
      </w:r>
    </w:p>
    <w:p>
      <w:pPr>
        <w:shd w:fill="4682b4"/>
        <w:spacing w:line="480" w:after="0"/>
        <w:ind w:left="120"/>
        <w:jc w:val="center"/>
      </w:pPr>
      <w:r>
        <w:rPr>
          <w:rFonts w:hAnsi="Arial" w:ascii="Arial"/>
          <w:b w:val="false"/>
          <w:i w:val="false"/>
          <w:color w:val="ffffff"/>
          <w:sz w:val="35"/>
        </w:rPr>
        <w:t>
				</w:t>
      </w:r>
      <w:r>
        <w:rPr>
          <w:rFonts w:hAnsi="Arial" w:ascii="Arial"/>
          <w:b w:val="false"/>
          <w:i w:val="false"/>
          <w:color w:val="ffffff"/>
          <w:sz w:val="35"/>
        </w:rPr>
        <w:t>Education</w:t>
      </w:r>
      <w:r>
        <w:rPr>
          <w:rFonts w:hAnsi="Arial" w:ascii="Arial"/>
          <w:b w:val="false"/>
          <w:i w:val="false"/>
          <w:color w:val="ffffff"/>
          <w:sz w:val="35"/>
        </w:rPr>
        <w:t>
			</w:t>
      </w:r>
    </w:p>
    <w:tbl>
      <w:tblPr>
        <w:tblW w:type="auto" w:w="0"/>
        <w:tblCellSpacing w:type="auto" w:w="0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45"/>
        <w:gridCol w:w="140"/>
        <w:gridCol w:w="11449"/>
      </w:tblGrid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44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1987-1990</w:t>
            </w:r>
          </w:p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44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E.N.S.T.A. (Paris).</w:t>
            </w:r>
            <w:r>
              <w:br/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Master of Science.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</w:t>
            </w:r>
          </w:p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44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1985-1987</w:t>
            </w:r>
          </w:p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44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Lycée Saint Louis (Paris).</w:t>
            </w:r>
            <w:r>
              <w:br/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Preparatory classes for Master of Science.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</w:t>
            </w:r>
          </w:p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44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</w:tr>
    </w:tbl>
    <w:p>
      <w:pPr>
        <w:spacing w:after="0"/>
        <w:ind w:left="120"/>
        <w:jc w:val="left"/>
      </w:pPr>
      <w:r>
        <w:rPr>
          <w:rFonts w:hAnsi="Verdana" w:ascii="Verdana"/>
          <w:b w:val="false"/>
          <w:i w:val="false"/>
          <w:color w:val="000000"/>
          <w:sz w:val="22"/>
        </w:rPr>
        <w:t>
			</w:t>
      </w:r>
      <w:r>
        <w:br/>
      </w:r>
    </w:p>
    <w:p>
      <w:pPr>
        <w:shd w:fill="4682b4"/>
        <w:spacing w:line="480" w:after="0"/>
        <w:ind w:left="120"/>
        <w:jc w:val="center"/>
      </w:pPr>
      <w:r>
        <w:rPr>
          <w:rFonts w:hAnsi="Arial" w:ascii="Arial"/>
          <w:b w:val="false"/>
          <w:i w:val="false"/>
          <w:color w:val="ffffff"/>
          <w:sz w:val="35"/>
        </w:rPr>
        <w:t>
				</w:t>
      </w:r>
      <w:r>
        <w:rPr>
          <w:rFonts w:hAnsi="Arial" w:ascii="Arial"/>
          <w:b w:val="false"/>
          <w:i w:val="false"/>
          <w:color w:val="ffffff"/>
          <w:sz w:val="35"/>
        </w:rPr>
        <w:t>Languages</w:t>
      </w:r>
      <w:r>
        <w:rPr>
          <w:rFonts w:hAnsi="Arial" w:ascii="Arial"/>
          <w:b w:val="false"/>
          <w:i w:val="false"/>
          <w:color w:val="ffffff"/>
          <w:sz w:val="35"/>
        </w:rPr>
        <w:t>
			</w:t>
      </w:r>
    </w:p>
    <w:tbl>
      <w:tblPr>
        <w:tblW w:type="auto" w:w="0"/>
        <w:tblCellSpacing w:type="auto" w:w="0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45"/>
        <w:gridCol w:w="140"/>
        <w:gridCol w:w="11449"/>
      </w:tblGrid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44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	</w:t>
            </w: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French</w:t>
            </w: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</w:t>
            </w:r>
          </w:p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44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 xml:space="preserve">Native. 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</w:t>
            </w:r>
          </w:p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44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	</w:t>
            </w: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English</w:t>
            </w: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</w:t>
            </w:r>
          </w:p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44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 xml:space="preserve">Read, speak and write fluently. Work 80% in English since 1994. </w:t>
            </w:r>
            <w:r>
              <w:rPr>
                <w:rFonts w:hAnsi="Verdana" w:ascii="Verdana"/>
                <w:b w:val="false"/>
                <w:i w:val="false"/>
                <w:color w:val="000000"/>
                <w:sz w:val="22"/>
              </w:rPr>
              <w:t>
					</w:t>
            </w:r>
          </w:p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44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</w:tr>
      <w:tr>
        <w:trPr>
          <w:trHeight w:hRule="atLeast" w:val="30"/>
        </w:trPr>
        <w:tc>
          <w:tcPr>
            <w:tcW w:type="dxa" w:w="2045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449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</w:tr>
    </w:tbl>
    <w:p>
      <w:pPr>
        <w:spacing w:after="0"/>
        <w:ind w:left="120"/>
        <w:jc w:val="left"/>
      </w:pPr>
      <w:r>
        <w:rPr>
          <w:rFonts w:hAnsi="Verdana" w:ascii="Verdana"/>
          <w:b w:val="false"/>
          <w:i w:val="false"/>
          <w:color w:val="000000"/>
          <w:sz w:val="22"/>
        </w:rPr>
        <w:t>
			</w:t>
      </w:r>
      <w:r>
        <w:br/>
      </w:r>
    </w:p>
    <w:p>
      <w:pPr>
        <w:shd w:fill="4682b4"/>
        <w:spacing w:line="480" w:after="0"/>
        <w:ind w:left="120"/>
        <w:jc w:val="center"/>
      </w:pPr>
      <w:r>
        <w:rPr>
          <w:rFonts w:hAnsi="Arial" w:ascii="Arial"/>
          <w:b w:val="false"/>
          <w:i w:val="false"/>
          <w:color w:val="ffffff"/>
          <w:sz w:val="35"/>
        </w:rPr>
        <w:t>
				</w:t>
      </w:r>
      <w:r>
        <w:rPr>
          <w:rFonts w:hAnsi="Arial" w:ascii="Arial"/>
          <w:b w:val="false"/>
          <w:i w:val="false"/>
          <w:color w:val="ffffff"/>
          <w:sz w:val="35"/>
        </w:rPr>
        <w:t>Computer skills details</w:t>
      </w:r>
      <w:r>
        <w:rPr>
          <w:rFonts w:hAnsi="Arial" w:ascii="Arial"/>
          <w:b w:val="false"/>
          <w:i w:val="false"/>
          <w:color w:val="ffffff"/>
          <w:sz w:val="35"/>
        </w:rPr>
        <w:t>
			</w:t>
      </w:r>
    </w:p>
    <w:tbl>
      <w:tblPr>
        <w:tblW w:type="auto" w:w="0"/>
        <w:tblCellSpacing w:type="auto" w:w="0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216"/>
        <w:gridCol w:w="140"/>
        <w:gridCol w:w="11278"/>
      </w:tblGrid>
      <w:tr>
        <w:trPr>
          <w:trHeight w:hRule="atLeast" w:val="30"/>
        </w:trPr>
        <w:tc>
          <w:tcPr>
            <w:tcW w:type="dxa" w:w="2216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278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</w:tr>
      <w:tr>
        <w:trPr>
          <w:trHeight w:hRule="atLeast" w:val="30"/>
        </w:trPr>
        <w:tc>
          <w:tcPr>
            <w:tcW w:type="dxa" w:w="2216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	</w:t>
            </w: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Concepts and Knowledge</w:t>
            </w: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</w:t>
            </w:r>
          </w:p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278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Public Cloud infrastructures and architectures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Software engineering, software development, integration, porting, optimizations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Big Data / Fast Data (triple competency : production infrastructure deployment, data engineering and Big Data / Fast Data architecture)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Distributed systems / internet / networking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DevOps, DevSecOps, Infrastructure as Code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Advanced application troubleshooting, Site Reliability Engineering (SRE)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Agile development methodologies (Scrum, Kanban)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</w:tc>
      </w:tr>
      <w:tr>
        <w:trPr>
          <w:trHeight w:hRule="atLeast" w:val="30"/>
        </w:trPr>
        <w:tc>
          <w:tcPr>
            <w:tcW w:type="dxa" w:w="2216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278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</w:tr>
      <w:tr>
        <w:trPr>
          <w:trHeight w:hRule="atLeast" w:val="30"/>
        </w:trPr>
        <w:tc>
          <w:tcPr>
            <w:tcW w:type="dxa" w:w="2216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	</w:t>
            </w: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Systems et languages</w:t>
            </w: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</w:t>
            </w:r>
          </w:p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278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Virtual infrastructures : Microsoft Azure, kvm, vmware, virtualbox, Amazon, Google Compute Platform, OVH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Azure specific : Virtual Machines, Kubernetes Services (AKS) , Database for *(MariaDB, PostgreSQL, SqlServer), Load Balancer, Azure Storage, Virtual Networks, Azure Active Directory(Azure AD), EventHub, ServiceBus, Databricks, Azure Web Apps, Container Instances (ACI), Azure Functions, Datalake Storage, CosmosDb, HDInsight, Azure Batch , Container Registry, DataFactory, Bastion, IOT Hub, Application Insight, VPN Gateway, Azure Key Vaults, Azure SendGrid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AWS specific : Virtual Machines (EC2), Elastic Kubernetes Services (EKS) , RDS (PostgreSQL), Load Balancer (ALB, NLB), Storage (S3), Virtual Networks, IAM, SQS, ECR, Lambdas, Session Manager (SSM), Cloudwatch, Secrets Manager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DevOps tools : Terraform, github, azure devops, Ansible, shell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All UNIX operating systems including Linux , all Windows operating systems, DCOS/Mesos, Kubernetes, Docker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NoSql and Big Data Frameworks : Hadoop, Kafka, Kafka Streaming, Databricks, Spark, Spark Streaming, Hive, HBase, Couchbase, MongoDB, ElasticSearch, Cassandra (Certified Cassandra Architect), …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Languages : Java (Java SE, JEE, Springboot, JavaFX), Python, JavaScript (Node.js, VueJs), C++, SQL, …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Relational Databases :  Oracle, PostgreSQL, MySQL, MariaDB, MS Sql Server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</w:tc>
      </w:tr>
      <w:tr>
        <w:trPr>
          <w:trHeight w:hRule="atLeast" w:val="30"/>
        </w:trPr>
        <w:tc>
          <w:tcPr>
            <w:tcW w:type="dxa" w:w="2216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278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</w:tr>
      <w:tr>
        <w:trPr>
          <w:trHeight w:hRule="atLeast" w:val="30"/>
        </w:trPr>
        <w:tc>
          <w:tcPr>
            <w:tcW w:type="dxa" w:w="2216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	</w:t>
            </w: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API and Specifications</w:t>
            </w: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</w:t>
            </w:r>
          </w:p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278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Specifications : HTML5, CSS3, JEE, JSP / Servlet, JMS, EJB, …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Network programming : TCP/IP, sockets, SSL/TLS , Kerberos, ldap, Active Directory, Wireshark dumps and analysis.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Security : certificates, TLS (aka SSL), encryption, VPN, Zero Trust.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</w:tc>
      </w:tr>
      <w:tr>
        <w:trPr>
          <w:trHeight w:hRule="atLeast" w:val="30"/>
        </w:trPr>
        <w:tc>
          <w:tcPr>
            <w:tcW w:type="dxa" w:w="2216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278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</w:tr>
      <w:tr>
        <w:trPr>
          <w:trHeight w:hRule="atLeast" w:val="30"/>
        </w:trPr>
        <w:tc>
          <w:tcPr>
            <w:tcW w:type="dxa" w:w="2216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	</w:t>
            </w: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Products and tools</w:t>
            </w:r>
            <w:r>
              <w:rPr>
                <w:rFonts w:hAnsi="Arial" w:ascii="Arial"/>
                <w:b w:val="false"/>
                <w:i w:val="false"/>
                <w:color w:val="000000"/>
                <w:sz w:val="26"/>
              </w:rPr>
              <w:t>
					</w:t>
            </w:r>
          </w:p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278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Application Servers : Apache, Nginx, HA-Proxy, Tomcat, Jetty, JBoss, Weblogic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  <w:p>
            <w:pPr>
              <w:spacing w:after="60"/>
              <w:ind w:left="615"/>
              <w:jc w:val="left"/>
            </w:pP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	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Development tools : Eclipse, IntelliJ, Ms Visual C++, git, ant, maven, profilers,…</w:t>
            </w:r>
            <w:r>
              <w:rPr>
                <w:rFonts w:hAnsi="Verdana" w:ascii="Verdana"/>
                <w:b w:val="false"/>
                <w:i w:val="false"/>
                <w:color w:val="000000"/>
                <w:sz w:val="17"/>
              </w:rPr>
              <w:t>
							</w:t>
            </w:r>
          </w:p>
        </w:tc>
      </w:tr>
      <w:tr>
        <w:trPr>
          <w:trHeight w:hRule="atLeast" w:val="30"/>
        </w:trPr>
        <w:tc>
          <w:tcPr>
            <w:tcW w:type="dxa" w:w="2216"/>
            <w:tcBorders/>
            <w:shd w:fill="f0f8ff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40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  <w:tc>
          <w:tcPr>
            <w:tcW w:type="dxa" w:w="11278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/>
        </w:tc>
      </w:tr>
    </w:tbl>
    <w:sectPr>
      <w:pgSz w:code="9" w:h="16839" w:w="11907"/>
      <w:pgMar w:left="720" w:bottom="720" w:right="720" w:top="72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val="1" w:uri="http://schemas.microsoft.com/office/word" w:name="overrideTableStyleFontSizeAndJustification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Caption" w:type="paragraph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themeColor="accent1" w:val="4F81BD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numbering" Target="numbering.xml"/>
    <Relationship Id="rId4" Type="http://schemas.openxmlformats.org/officeDocument/2006/relationships/image" Target="media/document_image_rId4.jpeg"/>
    <Relationship Id="rId5" Type="http://schemas.openxmlformats.org/officeDocument/2006/relationships/hyperlink" Target="https://totalenergies.com/" TargetMode="External"/>
    <Relationship Id="rId6" Type="http://schemas.openxmlformats.org/officeDocument/2006/relationships/hyperlink" Target="https://www.total-ev-charge.com/en/home.html" TargetMode="External"/>
    <Relationship Id="rId7" Type="http://schemas.openxmlformats.org/officeDocument/2006/relationships/hyperlink" Target="https://www.digital.sncf.com/transformation-numerique/les-fabs" TargetMode="External"/>
    <Relationship Id="rId8" Type="http://schemas.openxmlformats.org/officeDocument/2006/relationships/hyperlink" Target="https://www.axa-tech.com/" TargetMode="External"/>
    <Relationship Id="rId9" Type="http://schemas.openxmlformats.org/officeDocument/2006/relationships/hyperlink" Target="http://www.hightechzone.fr" TargetMode="External"/>
    <Relationship Id="rId10" Type="http://schemas.openxmlformats.org/officeDocument/2006/relationships/hyperlink" Target="http://cassiopae.com" TargetMode="External"/>
    <Relationship Id="rId11" Type="http://schemas.openxmlformats.org/officeDocument/2006/relationships/hyperlink" Target="http://www.fr.capgemini.com/telecom-media-entertainment" TargetMode="External"/>
    <Relationship Id="rId12" Type="http://schemas.openxmlformats.org/officeDocument/2006/relationships/hyperlink" Target="http://www.oracle.com/us/corporate/acquisitions/bea/index.html" TargetMode="External"/>
    <Relationship Id="rId13" Type="http://schemas.openxmlformats.org/officeDocument/2006/relationships/hyperlink" Target="http://www.oracle.com/" TargetMode="External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